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1329" w14:textId="17D3C4A6" w:rsidR="00DB58EF" w:rsidRDefault="000B489D">
      <w:pPr>
        <w:snapToGrid w:val="0"/>
        <w:spacing w:line="640" w:lineRule="exact"/>
        <w:jc w:val="left"/>
        <w:rPr>
          <w:rFonts w:ascii="宋体" w:eastAsia="宋体" w:hAnsi="宋体" w:cs="Times New Roman"/>
          <w:b/>
          <w:bCs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t>附件</w:t>
      </w:r>
      <w:r w:rsidR="001B5CAF">
        <w:rPr>
          <w:rFonts w:ascii="宋体" w:eastAsia="宋体" w:hAnsi="宋体" w:cs="Times New Roman" w:hint="eastAsia"/>
          <w:sz w:val="28"/>
          <w:szCs w:val="28"/>
        </w:rPr>
        <w:t>一</w:t>
      </w:r>
    </w:p>
    <w:p w14:paraId="6293D313" w14:textId="5155C79B" w:rsidR="00DB58EF" w:rsidRDefault="000B489D">
      <w:pPr>
        <w:snapToGrid w:val="0"/>
        <w:spacing w:line="640" w:lineRule="exact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/>
          <w:b/>
          <w:bCs/>
          <w:sz w:val="32"/>
          <w:szCs w:val="32"/>
        </w:rPr>
        <w:t>四川天府老龄产业发展研究中心</w:t>
      </w:r>
      <w:r>
        <w:rPr>
          <w:rFonts w:ascii="宋体" w:eastAsia="宋体" w:hAnsi="宋体" w:cs="Times New Roman" w:hint="eastAsia"/>
          <w:b/>
          <w:bCs/>
          <w:sz w:val="32"/>
          <w:szCs w:val="32"/>
        </w:rPr>
        <w:t>202</w:t>
      </w:r>
      <w:r w:rsidR="00857CE1">
        <w:rPr>
          <w:rFonts w:ascii="宋体" w:eastAsia="宋体" w:hAnsi="宋体" w:cs="Times New Roman" w:hint="eastAsia"/>
          <w:b/>
          <w:bCs/>
          <w:sz w:val="32"/>
          <w:szCs w:val="32"/>
        </w:rPr>
        <w:t>2</w:t>
      </w:r>
      <w:r>
        <w:rPr>
          <w:rFonts w:ascii="宋体" w:eastAsia="宋体" w:hAnsi="宋体" w:cs="Times New Roman"/>
          <w:b/>
          <w:bCs/>
          <w:sz w:val="32"/>
          <w:szCs w:val="32"/>
        </w:rPr>
        <w:t>年课题选题</w:t>
      </w:r>
      <w:r w:rsidR="00857CE1">
        <w:rPr>
          <w:rFonts w:ascii="宋体" w:eastAsia="宋体" w:hAnsi="宋体" w:cs="Times New Roman" w:hint="eastAsia"/>
          <w:b/>
          <w:bCs/>
          <w:sz w:val="32"/>
          <w:szCs w:val="32"/>
        </w:rPr>
        <w:t>指南</w:t>
      </w:r>
    </w:p>
    <w:p w14:paraId="62D77626" w14:textId="77777777" w:rsidR="00D65899" w:rsidRDefault="00D65899">
      <w:pPr>
        <w:snapToGrid w:val="0"/>
        <w:spacing w:line="640" w:lineRule="exact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</w:p>
    <w:p w14:paraId="79914012" w14:textId="17AF9E9E" w:rsidR="00D65899" w:rsidRPr="00012100" w:rsidRDefault="00D65899" w:rsidP="002C7430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_GB2312"/>
          <w:color w:val="333333"/>
          <w:kern w:val="0"/>
          <w:sz w:val="28"/>
          <w:szCs w:val="28"/>
        </w:rPr>
      </w:pPr>
      <w:r w:rsidRPr="00012100"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申报者可</w:t>
      </w:r>
      <w:r w:rsidR="0047244B" w:rsidRPr="00012100"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结合选题指南</w:t>
      </w:r>
      <w:r w:rsidRPr="00012100"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围绕养老领域的热点</w:t>
      </w:r>
      <w:r w:rsidR="0047244B" w:rsidRPr="00012100"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重点难点</w:t>
      </w:r>
      <w:r w:rsidRPr="00012100"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问题，结合自身研究</w:t>
      </w:r>
      <w:r w:rsidR="0047244B" w:rsidRPr="00012100"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实际，确定研究选题</w:t>
      </w:r>
      <w:r w:rsidRPr="00012100"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。</w:t>
      </w:r>
    </w:p>
    <w:p w14:paraId="71707CCF" w14:textId="3A84FB48" w:rsidR="002C7430" w:rsidRPr="00012100" w:rsidRDefault="00D65899" w:rsidP="002C7430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_GB2312"/>
          <w:color w:val="333333"/>
          <w:kern w:val="0"/>
          <w:sz w:val="28"/>
          <w:szCs w:val="28"/>
        </w:rPr>
      </w:pPr>
      <w:r w:rsidRPr="00012100"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围绕养老行业</w:t>
      </w:r>
      <w:r w:rsidR="002C7430" w:rsidRPr="00012100"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/产业</w:t>
      </w:r>
      <w:r w:rsidRPr="00012100"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发展</w:t>
      </w:r>
      <w:r w:rsidR="000B405F"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与人才培养</w:t>
      </w:r>
      <w:r w:rsidRPr="00012100"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、</w:t>
      </w:r>
      <w:r w:rsidR="002C7430" w:rsidRPr="00012100"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人口老龄化、</w:t>
      </w:r>
      <w:r w:rsidR="000759E5"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养老服务现状与发展、老年学研究、</w:t>
      </w:r>
      <w:r w:rsidR="000B405F"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养老机构管理与服务建构、</w:t>
      </w:r>
      <w:r w:rsidR="002C7430" w:rsidRPr="00012100"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老年护理与康复、</w:t>
      </w:r>
      <w:r w:rsidR="000759E5"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老年医学、老年社会工作/社会学研究、</w:t>
      </w:r>
      <w:r w:rsidR="002C7430" w:rsidRPr="00012100"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老年</w:t>
      </w:r>
      <w:r w:rsidR="00BE6B90" w:rsidRPr="00012100"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产学研校企合作、</w:t>
      </w:r>
      <w:r w:rsidRPr="00012100"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教学改革</w:t>
      </w:r>
      <w:r w:rsidR="000759E5"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、</w:t>
      </w:r>
      <w:r w:rsidR="00BE6B90" w:rsidRPr="00012100"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创新</w:t>
      </w:r>
      <w:r w:rsidR="000759E5"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与师资队伍建设</w:t>
      </w:r>
      <w:r w:rsidRPr="00012100"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、课程</w:t>
      </w:r>
      <w:r w:rsidR="00BE6B90" w:rsidRPr="00012100"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建设</w:t>
      </w:r>
      <w:r w:rsidR="002C7430" w:rsidRPr="00012100"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与</w:t>
      </w:r>
      <w:r w:rsidRPr="00012100"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评价等方向</w:t>
      </w:r>
      <w:r w:rsidR="00BE6B90" w:rsidRPr="00012100"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拟定研究选题</w:t>
      </w:r>
      <w:r w:rsidRPr="00012100">
        <w:rPr>
          <w:rFonts w:ascii="仿宋" w:eastAsia="仿宋" w:hAnsi="仿宋" w:cs="仿宋_GB2312" w:hint="eastAsia"/>
          <w:color w:val="333333"/>
          <w:kern w:val="0"/>
          <w:sz w:val="28"/>
          <w:szCs w:val="28"/>
        </w:rPr>
        <w:t>。</w:t>
      </w:r>
    </w:p>
    <w:p w14:paraId="5C156F2B" w14:textId="77777777" w:rsidR="00DB58EF" w:rsidRPr="00DA6541" w:rsidRDefault="000B489D">
      <w:pPr>
        <w:numPr>
          <w:ilvl w:val="0"/>
          <w:numId w:val="1"/>
        </w:numPr>
        <w:snapToGrid w:val="0"/>
        <w:spacing w:line="640" w:lineRule="exact"/>
        <w:rPr>
          <w:rFonts w:ascii="仿宋" w:eastAsia="仿宋" w:hAnsi="仿宋"/>
          <w:color w:val="111F2C"/>
          <w:sz w:val="28"/>
          <w:szCs w:val="28"/>
          <w:shd w:val="clear" w:color="auto" w:fill="FFFFFF"/>
        </w:rPr>
      </w:pPr>
      <w:r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高校产学研合作教学资源共享的实践研究</w:t>
      </w:r>
    </w:p>
    <w:p w14:paraId="3D56BAB5" w14:textId="77777777" w:rsidR="00DB58EF" w:rsidRPr="00DA6541" w:rsidRDefault="000B489D">
      <w:pPr>
        <w:numPr>
          <w:ilvl w:val="0"/>
          <w:numId w:val="1"/>
        </w:numPr>
        <w:snapToGrid w:val="0"/>
        <w:spacing w:line="640" w:lineRule="exact"/>
        <w:rPr>
          <w:rFonts w:ascii="仿宋" w:eastAsia="仿宋" w:hAnsi="仿宋"/>
          <w:color w:val="111F2C"/>
          <w:sz w:val="28"/>
          <w:szCs w:val="28"/>
          <w:shd w:val="clear" w:color="auto" w:fill="FFFFFF"/>
        </w:rPr>
      </w:pPr>
      <w:r w:rsidRPr="00DA6541">
        <w:rPr>
          <w:rFonts w:ascii="仿宋" w:eastAsia="仿宋" w:hAnsi="仿宋"/>
          <w:color w:val="111F2C"/>
          <w:sz w:val="28"/>
          <w:szCs w:val="28"/>
          <w:shd w:val="clear" w:color="auto" w:fill="FFFFFF"/>
        </w:rPr>
        <w:t>养老</w:t>
      </w:r>
      <w:r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领域应用型专业人才培养模式改革研究与实践</w:t>
      </w:r>
    </w:p>
    <w:p w14:paraId="434595C9" w14:textId="77777777" w:rsidR="00DB58EF" w:rsidRPr="00DA6541" w:rsidRDefault="000B489D">
      <w:pPr>
        <w:numPr>
          <w:ilvl w:val="0"/>
          <w:numId w:val="1"/>
        </w:numPr>
        <w:snapToGrid w:val="0"/>
        <w:spacing w:line="640" w:lineRule="exact"/>
        <w:rPr>
          <w:rFonts w:ascii="仿宋" w:eastAsia="仿宋" w:hAnsi="仿宋"/>
          <w:color w:val="111F2C"/>
          <w:sz w:val="28"/>
          <w:szCs w:val="28"/>
          <w:shd w:val="clear" w:color="auto" w:fill="FFFFFF"/>
        </w:rPr>
      </w:pPr>
      <w:r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养老产业发展路径及保障体系研究</w:t>
      </w:r>
    </w:p>
    <w:p w14:paraId="5F90064D" w14:textId="2105EBAE" w:rsidR="00DB58EF" w:rsidRPr="00DA6541" w:rsidRDefault="0080776D">
      <w:pPr>
        <w:numPr>
          <w:ilvl w:val="0"/>
          <w:numId w:val="1"/>
        </w:numPr>
        <w:snapToGrid w:val="0"/>
        <w:spacing w:line="640" w:lineRule="exact"/>
        <w:rPr>
          <w:rFonts w:ascii="仿宋" w:eastAsia="仿宋" w:hAnsi="仿宋"/>
          <w:color w:val="111F2C"/>
          <w:sz w:val="28"/>
          <w:szCs w:val="28"/>
          <w:shd w:val="clear" w:color="auto" w:fill="FFFFFF"/>
        </w:rPr>
      </w:pPr>
      <w:r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社会工作服务在积极应对人口老龄化中的作用及机制研究</w:t>
      </w:r>
    </w:p>
    <w:p w14:paraId="334EA059" w14:textId="77777777" w:rsidR="00DB58EF" w:rsidRPr="00DA6541" w:rsidRDefault="000B489D">
      <w:pPr>
        <w:numPr>
          <w:ilvl w:val="0"/>
          <w:numId w:val="1"/>
        </w:numPr>
        <w:snapToGrid w:val="0"/>
        <w:spacing w:line="640" w:lineRule="exact"/>
        <w:rPr>
          <w:rFonts w:ascii="仿宋" w:eastAsia="仿宋" w:hAnsi="仿宋"/>
          <w:color w:val="111F2C"/>
          <w:sz w:val="28"/>
          <w:szCs w:val="28"/>
          <w:shd w:val="clear" w:color="auto" w:fill="FFFFFF"/>
        </w:rPr>
      </w:pPr>
      <w:r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普惠养老城企联动机制研究</w:t>
      </w:r>
    </w:p>
    <w:p w14:paraId="6A6A5125" w14:textId="77777777" w:rsidR="00DB58EF" w:rsidRPr="00DA6541" w:rsidRDefault="000B489D">
      <w:pPr>
        <w:numPr>
          <w:ilvl w:val="0"/>
          <w:numId w:val="1"/>
        </w:numPr>
        <w:snapToGrid w:val="0"/>
        <w:spacing w:line="640" w:lineRule="exact"/>
        <w:rPr>
          <w:rFonts w:ascii="仿宋" w:eastAsia="仿宋" w:hAnsi="仿宋"/>
          <w:color w:val="111F2C"/>
          <w:sz w:val="28"/>
          <w:szCs w:val="28"/>
          <w:shd w:val="clear" w:color="auto" w:fill="FFFFFF"/>
        </w:rPr>
      </w:pPr>
      <w:r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养老机构社会工作服务建构</w:t>
      </w:r>
    </w:p>
    <w:p w14:paraId="0BB7D7FA" w14:textId="77777777" w:rsidR="00DB58EF" w:rsidRPr="00DA6541" w:rsidRDefault="000B489D">
      <w:pPr>
        <w:numPr>
          <w:ilvl w:val="0"/>
          <w:numId w:val="1"/>
        </w:numPr>
        <w:snapToGrid w:val="0"/>
        <w:spacing w:line="640" w:lineRule="exact"/>
        <w:rPr>
          <w:rFonts w:ascii="仿宋" w:eastAsia="仿宋" w:hAnsi="仿宋"/>
          <w:color w:val="111F2C"/>
          <w:sz w:val="28"/>
          <w:szCs w:val="28"/>
          <w:shd w:val="clear" w:color="auto" w:fill="FFFFFF"/>
        </w:rPr>
      </w:pPr>
      <w:r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老年友好型社会建构</w:t>
      </w:r>
    </w:p>
    <w:p w14:paraId="26E55C00" w14:textId="77777777" w:rsidR="00DB58EF" w:rsidRPr="00DA6541" w:rsidRDefault="000B489D">
      <w:pPr>
        <w:numPr>
          <w:ilvl w:val="0"/>
          <w:numId w:val="1"/>
        </w:numPr>
        <w:snapToGrid w:val="0"/>
        <w:spacing w:line="640" w:lineRule="exact"/>
        <w:rPr>
          <w:rFonts w:ascii="仿宋" w:eastAsia="仿宋" w:hAnsi="仿宋"/>
          <w:color w:val="111F2C"/>
          <w:sz w:val="28"/>
          <w:szCs w:val="28"/>
          <w:shd w:val="clear" w:color="auto" w:fill="FFFFFF"/>
        </w:rPr>
      </w:pPr>
      <w:r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积极老龄化视角下老年人力资源开发研究</w:t>
      </w:r>
    </w:p>
    <w:p w14:paraId="48073F18" w14:textId="77777777" w:rsidR="00DB58EF" w:rsidRPr="00DA6541" w:rsidRDefault="000B489D">
      <w:pPr>
        <w:numPr>
          <w:ilvl w:val="0"/>
          <w:numId w:val="1"/>
        </w:numPr>
        <w:snapToGrid w:val="0"/>
        <w:spacing w:line="640" w:lineRule="exact"/>
        <w:rPr>
          <w:rFonts w:ascii="仿宋" w:eastAsia="仿宋" w:hAnsi="仿宋"/>
          <w:color w:val="111F2C"/>
          <w:sz w:val="28"/>
          <w:szCs w:val="28"/>
          <w:shd w:val="clear" w:color="auto" w:fill="FFFFFF"/>
        </w:rPr>
      </w:pPr>
      <w:r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养老护理型人才培养研究</w:t>
      </w:r>
    </w:p>
    <w:p w14:paraId="590C666A" w14:textId="1203A6FB" w:rsidR="00DB58EF" w:rsidRPr="00DA6541" w:rsidRDefault="002C7430" w:rsidP="002C7430">
      <w:pPr>
        <w:snapToGrid w:val="0"/>
        <w:spacing w:line="640" w:lineRule="exact"/>
        <w:rPr>
          <w:rFonts w:ascii="仿宋" w:eastAsia="仿宋" w:hAnsi="仿宋"/>
          <w:color w:val="111F2C"/>
          <w:sz w:val="28"/>
          <w:szCs w:val="28"/>
          <w:shd w:val="clear" w:color="auto" w:fill="FFFFFF"/>
        </w:rPr>
      </w:pPr>
      <w:r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10.</w:t>
      </w:r>
      <w:r w:rsidR="000B489D"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居家、社区、机构三位一体的养老服务体系建构</w:t>
      </w:r>
    </w:p>
    <w:p w14:paraId="4BC1E386" w14:textId="25BA41B0" w:rsidR="00DB58EF" w:rsidRPr="00DA6541" w:rsidRDefault="002C7430" w:rsidP="002C7430">
      <w:pPr>
        <w:snapToGrid w:val="0"/>
        <w:spacing w:line="640" w:lineRule="exact"/>
        <w:rPr>
          <w:rFonts w:ascii="仿宋" w:eastAsia="仿宋" w:hAnsi="仿宋"/>
          <w:color w:val="111F2C"/>
          <w:sz w:val="28"/>
          <w:szCs w:val="28"/>
          <w:shd w:val="clear" w:color="auto" w:fill="FFFFFF"/>
        </w:rPr>
      </w:pPr>
      <w:r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11.</w:t>
      </w:r>
      <w:r w:rsidR="000B489D"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专业机构养老服务的社区介入机制</w:t>
      </w:r>
    </w:p>
    <w:p w14:paraId="68425E8C" w14:textId="1C33CB6D" w:rsidR="00DB58EF" w:rsidRPr="00DA6541" w:rsidRDefault="002C7430" w:rsidP="002C7430">
      <w:pPr>
        <w:snapToGrid w:val="0"/>
        <w:spacing w:line="640" w:lineRule="exact"/>
        <w:rPr>
          <w:rFonts w:ascii="仿宋" w:eastAsia="仿宋" w:hAnsi="仿宋"/>
          <w:color w:val="111F2C"/>
          <w:sz w:val="28"/>
          <w:szCs w:val="28"/>
          <w:shd w:val="clear" w:color="auto" w:fill="FFFFFF"/>
        </w:rPr>
      </w:pPr>
      <w:r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12.</w:t>
      </w:r>
      <w:r w:rsidR="000B489D"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公办</w:t>
      </w:r>
      <w:r w:rsidR="00F9429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/民办</w:t>
      </w:r>
      <w:r w:rsidR="000B489D"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养老机构改革</w:t>
      </w:r>
    </w:p>
    <w:p w14:paraId="55321D04" w14:textId="2E97BD2D" w:rsidR="00DB58EF" w:rsidRPr="00DA6541" w:rsidRDefault="002C7430" w:rsidP="002C7430">
      <w:pPr>
        <w:snapToGrid w:val="0"/>
        <w:spacing w:line="640" w:lineRule="exact"/>
        <w:rPr>
          <w:rFonts w:ascii="仿宋" w:eastAsia="仿宋" w:hAnsi="仿宋"/>
          <w:color w:val="111F2C"/>
          <w:sz w:val="28"/>
          <w:szCs w:val="28"/>
          <w:shd w:val="clear" w:color="auto" w:fill="FFFFFF"/>
        </w:rPr>
      </w:pPr>
      <w:r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13.</w:t>
      </w:r>
      <w:r w:rsidR="000B489D"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留守老人探访关爱制度建设</w:t>
      </w:r>
    </w:p>
    <w:p w14:paraId="7E8FFB77" w14:textId="32155EDC" w:rsidR="00DB58EF" w:rsidRPr="00DA6541" w:rsidRDefault="002C7430" w:rsidP="002C7430">
      <w:pPr>
        <w:snapToGrid w:val="0"/>
        <w:spacing w:line="640" w:lineRule="exact"/>
        <w:rPr>
          <w:rFonts w:ascii="仿宋" w:eastAsia="仿宋" w:hAnsi="仿宋"/>
          <w:color w:val="111F2C"/>
          <w:sz w:val="28"/>
          <w:szCs w:val="28"/>
          <w:shd w:val="clear" w:color="auto" w:fill="FFFFFF"/>
        </w:rPr>
      </w:pPr>
      <w:r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lastRenderedPageBreak/>
        <w:t>14.</w:t>
      </w:r>
      <w:r w:rsidR="000B489D"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延迟退休的社会效应</w:t>
      </w:r>
    </w:p>
    <w:p w14:paraId="74AEFC56" w14:textId="6A5B7961" w:rsidR="00DB58EF" w:rsidRPr="00DA6541" w:rsidRDefault="002C7430" w:rsidP="002C7430">
      <w:pPr>
        <w:snapToGrid w:val="0"/>
        <w:spacing w:line="640" w:lineRule="exact"/>
        <w:rPr>
          <w:rFonts w:ascii="仿宋" w:eastAsia="仿宋" w:hAnsi="仿宋"/>
          <w:color w:val="111F2C"/>
          <w:sz w:val="28"/>
          <w:szCs w:val="28"/>
          <w:shd w:val="clear" w:color="auto" w:fill="FFFFFF"/>
        </w:rPr>
      </w:pPr>
      <w:r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15.</w:t>
      </w:r>
      <w:r w:rsidR="000B489D"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适老化技术和产品的开发与应用</w:t>
      </w:r>
    </w:p>
    <w:p w14:paraId="78137609" w14:textId="09EA86E1" w:rsidR="00DB58EF" w:rsidRPr="00DA6541" w:rsidRDefault="002C7430" w:rsidP="002C7430">
      <w:pPr>
        <w:snapToGrid w:val="0"/>
        <w:spacing w:line="640" w:lineRule="exact"/>
        <w:rPr>
          <w:rFonts w:ascii="仿宋" w:eastAsia="仿宋" w:hAnsi="仿宋"/>
          <w:color w:val="111F2C"/>
          <w:sz w:val="28"/>
          <w:szCs w:val="28"/>
          <w:shd w:val="clear" w:color="auto" w:fill="FFFFFF"/>
        </w:rPr>
      </w:pPr>
      <w:r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16.</w:t>
      </w:r>
      <w:r w:rsidR="000B489D"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养老新业态（银发经济、适老化技术和产品、智慧养老）</w:t>
      </w:r>
    </w:p>
    <w:p w14:paraId="76F4DFFA" w14:textId="2A8F31BB" w:rsidR="000B489D" w:rsidRPr="00DA6541" w:rsidRDefault="002C7430" w:rsidP="002C7430">
      <w:pPr>
        <w:snapToGrid w:val="0"/>
        <w:spacing w:line="640" w:lineRule="exact"/>
        <w:rPr>
          <w:rFonts w:ascii="仿宋" w:eastAsia="仿宋" w:hAnsi="仿宋"/>
          <w:color w:val="111F2C"/>
          <w:sz w:val="28"/>
          <w:szCs w:val="28"/>
          <w:shd w:val="clear" w:color="auto" w:fill="FFFFFF"/>
        </w:rPr>
      </w:pPr>
      <w:r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17.</w:t>
      </w:r>
      <w:r w:rsidR="000B489D"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心理护理及健康教育对老年慢性病患者护理效果研究</w:t>
      </w:r>
    </w:p>
    <w:p w14:paraId="07F360F3" w14:textId="706D79A4" w:rsidR="000B489D" w:rsidRPr="00DA6541" w:rsidRDefault="002C7430" w:rsidP="002C7430">
      <w:pPr>
        <w:snapToGrid w:val="0"/>
        <w:spacing w:line="640" w:lineRule="exact"/>
        <w:rPr>
          <w:rFonts w:ascii="仿宋" w:eastAsia="仿宋" w:hAnsi="仿宋"/>
          <w:color w:val="111F2C"/>
          <w:sz w:val="28"/>
          <w:szCs w:val="28"/>
          <w:shd w:val="clear" w:color="auto" w:fill="FFFFFF"/>
        </w:rPr>
      </w:pPr>
      <w:r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18.</w:t>
      </w:r>
      <w:r w:rsidR="000B489D"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中医联合护理对老年病者情绪、行为及生活质量的影响</w:t>
      </w:r>
    </w:p>
    <w:p w14:paraId="53F1F384" w14:textId="41FBB968" w:rsidR="000B489D" w:rsidRPr="00DA6541" w:rsidRDefault="002C7430" w:rsidP="002C7430">
      <w:pPr>
        <w:snapToGrid w:val="0"/>
        <w:spacing w:line="640" w:lineRule="exact"/>
        <w:rPr>
          <w:rFonts w:ascii="仿宋" w:eastAsia="仿宋" w:hAnsi="仿宋"/>
          <w:color w:val="111F2C"/>
          <w:sz w:val="28"/>
          <w:szCs w:val="28"/>
          <w:shd w:val="clear" w:color="auto" w:fill="FFFFFF"/>
        </w:rPr>
      </w:pPr>
      <w:r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19.</w:t>
      </w:r>
      <w:r w:rsidR="000B489D"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早期康复护理对老年创伤性手术后疼痛及生活质量的影响</w:t>
      </w:r>
    </w:p>
    <w:p w14:paraId="2430A695" w14:textId="1A99D141" w:rsidR="000B489D" w:rsidRPr="00DA6541" w:rsidRDefault="002C7430" w:rsidP="002C7430">
      <w:pPr>
        <w:snapToGrid w:val="0"/>
        <w:spacing w:line="640" w:lineRule="exact"/>
        <w:rPr>
          <w:rFonts w:ascii="仿宋" w:eastAsia="仿宋" w:hAnsi="仿宋"/>
          <w:color w:val="111F2C"/>
          <w:sz w:val="28"/>
          <w:szCs w:val="28"/>
          <w:shd w:val="clear" w:color="auto" w:fill="FFFFFF"/>
        </w:rPr>
      </w:pPr>
      <w:r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20.</w:t>
      </w:r>
      <w:r w:rsidR="000B489D"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叙事医学在我国老年医疗照护中的作用</w:t>
      </w:r>
    </w:p>
    <w:p w14:paraId="5E258DBD" w14:textId="01B9A58E" w:rsidR="000B489D" w:rsidRPr="00DA6541" w:rsidRDefault="002C7430" w:rsidP="002C7430">
      <w:pPr>
        <w:snapToGrid w:val="0"/>
        <w:spacing w:line="640" w:lineRule="exact"/>
        <w:rPr>
          <w:rFonts w:ascii="仿宋" w:eastAsia="仿宋" w:hAnsi="仿宋"/>
          <w:color w:val="111F2C"/>
          <w:sz w:val="28"/>
          <w:szCs w:val="28"/>
          <w:shd w:val="clear" w:color="auto" w:fill="FFFFFF"/>
        </w:rPr>
      </w:pPr>
      <w:r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21.</w:t>
      </w:r>
      <w:r w:rsidR="000B489D"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老年病区</w:t>
      </w:r>
      <w:r w:rsidR="000B489D" w:rsidRPr="00DA6541">
        <w:rPr>
          <w:rFonts w:ascii="仿宋" w:eastAsia="仿宋" w:hAnsi="仿宋"/>
          <w:color w:val="111F2C"/>
          <w:sz w:val="28"/>
          <w:szCs w:val="28"/>
          <w:shd w:val="clear" w:color="auto" w:fill="FFFFFF"/>
        </w:rPr>
        <w:t>PICC导管护理的集束化护理模式</w:t>
      </w:r>
    </w:p>
    <w:p w14:paraId="6FD812A6" w14:textId="59BB5370" w:rsidR="000B489D" w:rsidRPr="00DA6541" w:rsidRDefault="002C7430" w:rsidP="002C7430">
      <w:pPr>
        <w:snapToGrid w:val="0"/>
        <w:spacing w:line="640" w:lineRule="exact"/>
        <w:rPr>
          <w:rFonts w:ascii="仿宋" w:eastAsia="仿宋" w:hAnsi="仿宋"/>
          <w:color w:val="111F2C"/>
          <w:sz w:val="28"/>
          <w:szCs w:val="28"/>
          <w:shd w:val="clear" w:color="auto" w:fill="FFFFFF"/>
        </w:rPr>
      </w:pPr>
      <w:r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22.</w:t>
      </w:r>
      <w:r w:rsidR="000B489D"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多元化护理干预对老年慢性病患者负性情绪的影响</w:t>
      </w:r>
    </w:p>
    <w:p w14:paraId="58FC2707" w14:textId="3A35B40F" w:rsidR="000B489D" w:rsidRPr="00DA6541" w:rsidRDefault="002C7430" w:rsidP="002C7430">
      <w:pPr>
        <w:snapToGrid w:val="0"/>
        <w:spacing w:line="640" w:lineRule="exact"/>
        <w:rPr>
          <w:rFonts w:ascii="仿宋" w:eastAsia="仿宋" w:hAnsi="仿宋"/>
          <w:color w:val="111F2C"/>
          <w:sz w:val="28"/>
          <w:szCs w:val="28"/>
          <w:shd w:val="clear" w:color="auto" w:fill="FFFFFF"/>
        </w:rPr>
      </w:pPr>
      <w:r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23.</w:t>
      </w:r>
      <w:r w:rsidR="000B489D"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多学科协同护理对老年慢性病患者遵医行为及生活质量的影响</w:t>
      </w:r>
    </w:p>
    <w:p w14:paraId="1FEF0451" w14:textId="7EBCD216" w:rsidR="000B489D" w:rsidRPr="00DA6541" w:rsidRDefault="002C7430" w:rsidP="002C7430">
      <w:pPr>
        <w:snapToGrid w:val="0"/>
        <w:spacing w:line="640" w:lineRule="exact"/>
        <w:rPr>
          <w:rFonts w:ascii="仿宋" w:eastAsia="仿宋" w:hAnsi="仿宋"/>
          <w:color w:val="111F2C"/>
          <w:sz w:val="28"/>
          <w:szCs w:val="28"/>
          <w:shd w:val="clear" w:color="auto" w:fill="FFFFFF"/>
        </w:rPr>
      </w:pPr>
      <w:r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24.</w:t>
      </w:r>
      <w:r w:rsidR="000B489D"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精细化护理对慢性老年病者生存质量、情绪变化及尊严水平影响</w:t>
      </w:r>
    </w:p>
    <w:p w14:paraId="2BB64221" w14:textId="3A1C2676" w:rsidR="000B489D" w:rsidRPr="00DA6541" w:rsidRDefault="002C7430" w:rsidP="002C7430">
      <w:pPr>
        <w:snapToGrid w:val="0"/>
        <w:spacing w:line="640" w:lineRule="exact"/>
        <w:rPr>
          <w:rFonts w:ascii="仿宋" w:eastAsia="仿宋" w:hAnsi="仿宋"/>
          <w:color w:val="111F2C"/>
          <w:sz w:val="28"/>
          <w:szCs w:val="28"/>
          <w:shd w:val="clear" w:color="auto" w:fill="FFFFFF"/>
        </w:rPr>
      </w:pPr>
      <w:r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25.</w:t>
      </w:r>
      <w:r w:rsidR="000B489D"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空间理论下老年护理专业化队伍建设问题研究</w:t>
      </w:r>
    </w:p>
    <w:p w14:paraId="31182487" w14:textId="47CDC45B" w:rsidR="000B489D" w:rsidRPr="00DA6541" w:rsidRDefault="002C7430" w:rsidP="002C7430">
      <w:pPr>
        <w:snapToGrid w:val="0"/>
        <w:spacing w:line="640" w:lineRule="exact"/>
        <w:rPr>
          <w:rFonts w:ascii="仿宋" w:eastAsia="仿宋" w:hAnsi="仿宋"/>
          <w:color w:val="111F2C"/>
          <w:sz w:val="28"/>
          <w:szCs w:val="28"/>
          <w:shd w:val="clear" w:color="auto" w:fill="FFFFFF"/>
        </w:rPr>
      </w:pPr>
      <w:r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26.</w:t>
      </w:r>
      <w:r w:rsidR="000B489D"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高危老年压疮患者心理护理的特点</w:t>
      </w:r>
    </w:p>
    <w:p w14:paraId="195FDB87" w14:textId="0B8F3E4B" w:rsidR="000B489D" w:rsidRPr="00DA6541" w:rsidRDefault="002C7430" w:rsidP="002C7430">
      <w:pPr>
        <w:snapToGrid w:val="0"/>
        <w:spacing w:line="640" w:lineRule="exact"/>
        <w:rPr>
          <w:rFonts w:ascii="仿宋" w:eastAsia="仿宋" w:hAnsi="仿宋"/>
          <w:color w:val="111F2C"/>
          <w:sz w:val="28"/>
          <w:szCs w:val="28"/>
          <w:shd w:val="clear" w:color="auto" w:fill="FFFFFF"/>
        </w:rPr>
      </w:pPr>
      <w:r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27.</w:t>
      </w:r>
      <w:r w:rsidR="000B489D"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近年国内外老年居家护理的</w:t>
      </w:r>
      <w:r w:rsidR="000B489D" w:rsidRPr="00DA6541">
        <w:rPr>
          <w:rFonts w:ascii="仿宋" w:eastAsia="仿宋" w:hAnsi="仿宋"/>
          <w:color w:val="111F2C"/>
          <w:sz w:val="28"/>
          <w:szCs w:val="28"/>
          <w:shd w:val="clear" w:color="auto" w:fill="FFFFFF"/>
        </w:rPr>
        <w:t>mate分析</w:t>
      </w:r>
    </w:p>
    <w:p w14:paraId="6FF58222" w14:textId="6CDC3638" w:rsidR="000B489D" w:rsidRPr="00DA6541" w:rsidRDefault="002C7430" w:rsidP="002C7430">
      <w:pPr>
        <w:snapToGrid w:val="0"/>
        <w:spacing w:line="640" w:lineRule="exact"/>
        <w:rPr>
          <w:rFonts w:ascii="仿宋" w:eastAsia="仿宋" w:hAnsi="仿宋"/>
          <w:color w:val="111F2C"/>
          <w:sz w:val="28"/>
          <w:szCs w:val="28"/>
          <w:shd w:val="clear" w:color="auto" w:fill="FFFFFF"/>
        </w:rPr>
      </w:pPr>
      <w:r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28.</w:t>
      </w:r>
      <w:r w:rsidR="000B489D"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老年人运动认知功能减退综合征的研究</w:t>
      </w:r>
    </w:p>
    <w:p w14:paraId="3EA37DB5" w14:textId="4E5CC2CA" w:rsidR="00DB58EF" w:rsidRPr="00DA6541" w:rsidRDefault="002C7430" w:rsidP="002C7430">
      <w:pPr>
        <w:snapToGrid w:val="0"/>
        <w:spacing w:line="640" w:lineRule="exact"/>
        <w:rPr>
          <w:rFonts w:ascii="仿宋" w:eastAsia="仿宋" w:hAnsi="仿宋"/>
          <w:color w:val="111F2C"/>
          <w:sz w:val="28"/>
          <w:szCs w:val="28"/>
          <w:shd w:val="clear" w:color="auto" w:fill="FFFFFF"/>
        </w:rPr>
      </w:pPr>
      <w:r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29</w:t>
      </w:r>
      <w:r w:rsidR="00F9429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.</w:t>
      </w:r>
      <w:r w:rsidR="000B489D" w:rsidRPr="00DA6541">
        <w:rPr>
          <w:rFonts w:ascii="仿宋" w:eastAsia="仿宋" w:hAnsi="仿宋" w:hint="eastAsia"/>
          <w:color w:val="111F2C"/>
          <w:sz w:val="28"/>
          <w:szCs w:val="28"/>
          <w:shd w:val="clear" w:color="auto" w:fill="FFFFFF"/>
        </w:rPr>
        <w:t>国外老年整合照顾需求评估经验及对我国的启示</w:t>
      </w:r>
    </w:p>
    <w:p w14:paraId="211A546F" w14:textId="77777777" w:rsidR="00DB58EF" w:rsidRDefault="00DB58EF">
      <w:pPr>
        <w:snapToGrid w:val="0"/>
        <w:spacing w:line="640" w:lineRule="exact"/>
        <w:rPr>
          <w:rFonts w:ascii="宋体" w:eastAsia="宋体" w:hAnsi="宋体"/>
          <w:color w:val="111F2C"/>
          <w:szCs w:val="21"/>
          <w:shd w:val="clear" w:color="auto" w:fill="FFFFFF"/>
        </w:rPr>
      </w:pPr>
    </w:p>
    <w:sectPr w:rsidR="00DB5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5A8A" w14:textId="77777777" w:rsidR="00857CE1" w:rsidRDefault="00857CE1" w:rsidP="00857CE1">
      <w:r>
        <w:separator/>
      </w:r>
    </w:p>
  </w:endnote>
  <w:endnote w:type="continuationSeparator" w:id="0">
    <w:p w14:paraId="62BB579E" w14:textId="77777777" w:rsidR="00857CE1" w:rsidRDefault="00857CE1" w:rsidP="0085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E111D" w14:textId="77777777" w:rsidR="00857CE1" w:rsidRDefault="00857CE1" w:rsidP="00857CE1">
      <w:r>
        <w:separator/>
      </w:r>
    </w:p>
  </w:footnote>
  <w:footnote w:type="continuationSeparator" w:id="0">
    <w:p w14:paraId="6B82607C" w14:textId="77777777" w:rsidR="00857CE1" w:rsidRDefault="00857CE1" w:rsidP="00857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BAC93"/>
    <w:multiLevelType w:val="singleLevel"/>
    <w:tmpl w:val="5F0BAC9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 w16cid:durableId="1431200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7A9"/>
    <w:rsid w:val="00012100"/>
    <w:rsid w:val="000759E5"/>
    <w:rsid w:val="000961C4"/>
    <w:rsid w:val="000B405F"/>
    <w:rsid w:val="000B489D"/>
    <w:rsid w:val="00185625"/>
    <w:rsid w:val="001B5CAF"/>
    <w:rsid w:val="001F54A8"/>
    <w:rsid w:val="00240E07"/>
    <w:rsid w:val="00253166"/>
    <w:rsid w:val="002C5F69"/>
    <w:rsid w:val="002C7430"/>
    <w:rsid w:val="003105F0"/>
    <w:rsid w:val="003E4BD8"/>
    <w:rsid w:val="00431289"/>
    <w:rsid w:val="0047244B"/>
    <w:rsid w:val="004862F6"/>
    <w:rsid w:val="004A33CA"/>
    <w:rsid w:val="004B4648"/>
    <w:rsid w:val="00607DCE"/>
    <w:rsid w:val="006C3AE1"/>
    <w:rsid w:val="006E0F8B"/>
    <w:rsid w:val="007C14ED"/>
    <w:rsid w:val="0080776D"/>
    <w:rsid w:val="00857CE1"/>
    <w:rsid w:val="008B1066"/>
    <w:rsid w:val="0098295F"/>
    <w:rsid w:val="00AA4617"/>
    <w:rsid w:val="00AF70B7"/>
    <w:rsid w:val="00B1013F"/>
    <w:rsid w:val="00BE6B90"/>
    <w:rsid w:val="00BF72CE"/>
    <w:rsid w:val="00C054BC"/>
    <w:rsid w:val="00D06F8A"/>
    <w:rsid w:val="00D65899"/>
    <w:rsid w:val="00DA6541"/>
    <w:rsid w:val="00DB58EF"/>
    <w:rsid w:val="00DC595D"/>
    <w:rsid w:val="00E90965"/>
    <w:rsid w:val="00EC2AF9"/>
    <w:rsid w:val="00F047A9"/>
    <w:rsid w:val="00F24800"/>
    <w:rsid w:val="00F40EC4"/>
    <w:rsid w:val="00F8704F"/>
    <w:rsid w:val="00F94291"/>
    <w:rsid w:val="00FD6990"/>
    <w:rsid w:val="1F15069A"/>
    <w:rsid w:val="78ED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C200E1"/>
  <w15:docId w15:val="{80071591-827D-428F-9D98-11BD5A44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735</Words>
  <Characters>75</Characters>
  <Application>Microsoft Office Word</Application>
  <DocSecurity>0</DocSecurity>
  <Lines>1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凤</dc:creator>
  <cp:lastModifiedBy>Administrator</cp:lastModifiedBy>
  <cp:revision>37</cp:revision>
  <dcterms:created xsi:type="dcterms:W3CDTF">2019-03-26T06:41:00Z</dcterms:created>
  <dcterms:modified xsi:type="dcterms:W3CDTF">2022-06-08T09:05:00Z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B327949309CC47A9AA81223D84CC4E06</vt:lpwstr>
  </property>
</Properties>
</file>